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5C94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SPINA 3 CORSO ODDONE</w:t>
      </w:r>
    </w:p>
    <w:p w14:paraId="45639E17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1. TERRITORIAL FRAMEWORK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br/>
      </w: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(Map showing the location of the area)</w:t>
      </w:r>
    </w:p>
    <w:p w14:paraId="19B4A9A8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ADMINISTRATIVE CONTEXT</w:t>
      </w:r>
    </w:p>
    <w:p w14:paraId="42DD4894" w14:textId="77777777" w:rsidR="00314AEF" w:rsidRPr="00314AEF" w:rsidRDefault="00314AEF" w:rsidP="00314AEF">
      <w:pPr>
        <w:numPr>
          <w:ilvl w:val="0"/>
          <w:numId w:val="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Municipality: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Torino</w:t>
      </w:r>
    </w:p>
    <w:p w14:paraId="3E363899" w14:textId="77777777" w:rsidR="00314AEF" w:rsidRPr="00314AEF" w:rsidRDefault="00314AEF" w:rsidP="00314AEF">
      <w:pPr>
        <w:numPr>
          <w:ilvl w:val="0"/>
          <w:numId w:val="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District: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4</w:t>
      </w:r>
    </w:p>
    <w:p w14:paraId="41260F76" w14:textId="77777777" w:rsidR="00314AEF" w:rsidRPr="00314AEF" w:rsidRDefault="00314AEF" w:rsidP="00314AEF">
      <w:pPr>
        <w:numPr>
          <w:ilvl w:val="0"/>
          <w:numId w:val="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Neighborhood: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San Donato</w:t>
      </w:r>
    </w:p>
    <w:p w14:paraId="6C2BFF73" w14:textId="77777777" w:rsidR="00314AEF" w:rsidRPr="00314AEF" w:rsidRDefault="00314AEF" w:rsidP="00314AEF">
      <w:pPr>
        <w:numPr>
          <w:ilvl w:val="0"/>
          <w:numId w:val="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OMI Zone: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D9</w:t>
      </w:r>
    </w:p>
    <w:p w14:paraId="6EF3D9F5" w14:textId="77777777" w:rsidR="00314AEF" w:rsidRPr="00314AEF" w:rsidRDefault="00314AEF" w:rsidP="00314AEF">
      <w:pPr>
        <w:numPr>
          <w:ilvl w:val="0"/>
          <w:numId w:val="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Boundaries: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Via Savigliano, Corso Principe Oddone, Corso Vigevano, Corso Umbria, Piazza Baldissera</w:t>
      </w:r>
    </w:p>
    <w:p w14:paraId="1BFD7D86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2. STRENGTHS</w:t>
      </w:r>
    </w:p>
    <w:p w14:paraId="66C53859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1. Strategic Metropolitan Interchange Hub</w:t>
      </w:r>
    </w:p>
    <w:p w14:paraId="370F90CA" w14:textId="77777777" w:rsidR="00314AEF" w:rsidRPr="00314AEF" w:rsidRDefault="00314AEF" w:rsidP="00314AEF">
      <w:pPr>
        <w:numPr>
          <w:ilvl w:val="0"/>
          <w:numId w:val="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Technological Innovation Hub with Environment Park</w:t>
      </w:r>
    </w:p>
    <w:p w14:paraId="6B3262C8" w14:textId="77777777" w:rsidR="00314AEF" w:rsidRPr="00314AEF" w:rsidRDefault="00314AEF" w:rsidP="00314AEF">
      <w:pPr>
        <w:numPr>
          <w:ilvl w:val="0"/>
          <w:numId w:val="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Vocation as a technology park</w:t>
      </w:r>
    </w:p>
    <w:p w14:paraId="070484DA" w14:textId="77777777" w:rsidR="00314AEF" w:rsidRPr="00314AEF" w:rsidRDefault="00314AEF" w:rsidP="00314AEF">
      <w:pPr>
        <w:numPr>
          <w:ilvl w:val="0"/>
          <w:numId w:val="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New Dora station planned for SFM connections</w:t>
      </w:r>
    </w:p>
    <w:p w14:paraId="53694BC7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2. Quality Environmental Features</w:t>
      </w:r>
    </w:p>
    <w:p w14:paraId="098CEE0F" w14:textId="77777777" w:rsidR="00314AEF" w:rsidRPr="00314AEF" w:rsidRDefault="00314AEF" w:rsidP="00314AEF">
      <w:pPr>
        <w:numPr>
          <w:ilvl w:val="0"/>
          <w:numId w:val="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Parco Dora, the second-largest park in the city</w:t>
      </w:r>
    </w:p>
    <w:p w14:paraId="7E9563FA" w14:textId="77777777" w:rsidR="00314AEF" w:rsidRPr="00314AEF" w:rsidRDefault="00314AEF" w:rsidP="00314AEF">
      <w:pPr>
        <w:numPr>
          <w:ilvl w:val="0"/>
          <w:numId w:val="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Presence of the Dora Riparia river, currently undergoing renaturalization</w:t>
      </w:r>
    </w:p>
    <w:p w14:paraId="4429664E" w14:textId="77777777" w:rsidR="00314AEF" w:rsidRPr="00314AEF" w:rsidRDefault="00314AEF" w:rsidP="00314AEF">
      <w:pPr>
        <w:numPr>
          <w:ilvl w:val="0"/>
          <w:numId w:val="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Various public gardens and sports facilities</w:t>
      </w:r>
    </w:p>
    <w:p w14:paraId="03469B2D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3. Accessibility and Strategic Connections</w:t>
      </w:r>
    </w:p>
    <w:p w14:paraId="46BBC2D9" w14:textId="77777777" w:rsidR="00314AEF" w:rsidRPr="00314AEF" w:rsidRDefault="00314AEF" w:rsidP="00314AEF">
      <w:pPr>
        <w:numPr>
          <w:ilvl w:val="0"/>
          <w:numId w:val="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Developed cycle path network along Corso Principe Oddone</w:t>
      </w:r>
    </w:p>
    <w:p w14:paraId="2C2ECCD6" w14:textId="77777777" w:rsidR="00314AEF" w:rsidRPr="00314AEF" w:rsidRDefault="00314AEF" w:rsidP="00314AEF">
      <w:pPr>
        <w:numPr>
          <w:ilvl w:val="0"/>
          <w:numId w:val="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Direct access to the Caselle airport and A4 Milan-Turin motorway link</w:t>
      </w:r>
    </w:p>
    <w:p w14:paraId="1A74FB98" w14:textId="77777777" w:rsidR="00314AEF" w:rsidRPr="00314AEF" w:rsidRDefault="00314AEF" w:rsidP="00314AEF">
      <w:pPr>
        <w:numPr>
          <w:ilvl w:val="0"/>
          <w:numId w:val="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Good high-speed fiber optic coverage</w:t>
      </w:r>
    </w:p>
    <w:p w14:paraId="14E4C57F" w14:textId="77777777" w:rsidR="00314AEF" w:rsidRPr="00314AEF" w:rsidRDefault="00314AEF" w:rsidP="00314AEF">
      <w:pPr>
        <w:numPr>
          <w:ilvl w:val="0"/>
          <w:numId w:val="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Infrastructural redevelopment of Corso Principe Oddone</w:t>
      </w:r>
    </w:p>
    <w:p w14:paraId="2779535C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4. Dynamic Social Context</w:t>
      </w:r>
    </w:p>
    <w:p w14:paraId="747FA911" w14:textId="77777777" w:rsidR="00314AEF" w:rsidRPr="00314AEF" w:rsidRDefault="00314AEF" w:rsidP="00314AEF">
      <w:pPr>
        <w:numPr>
          <w:ilvl w:val="0"/>
          <w:numId w:val="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Young and dynamic population with a low aging index</w:t>
      </w:r>
    </w:p>
    <w:p w14:paraId="6085D74D" w14:textId="77777777" w:rsidR="00314AEF" w:rsidRPr="00314AEF" w:rsidRDefault="00314AEF" w:rsidP="00314AEF">
      <w:pPr>
        <w:numPr>
          <w:ilvl w:val="0"/>
          <w:numId w:val="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High concentration of educational institutions</w:t>
      </w:r>
    </w:p>
    <w:p w14:paraId="09A194FE" w14:textId="77777777" w:rsidR="00314AEF" w:rsidRPr="00314AEF" w:rsidRDefault="00314AEF" w:rsidP="00314AEF">
      <w:pPr>
        <w:numPr>
          <w:ilvl w:val="0"/>
          <w:numId w:val="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Presence of university student housing</w:t>
      </w:r>
    </w:p>
    <w:p w14:paraId="16DD9CF5" w14:textId="77777777" w:rsidR="00314AEF" w:rsidRPr="00314AEF" w:rsidRDefault="00314AEF" w:rsidP="00314AEF">
      <w:pPr>
        <w:numPr>
          <w:ilvl w:val="0"/>
          <w:numId w:val="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Diverse cultural offerings with museums, libraries, and theaters</w:t>
      </w:r>
    </w:p>
    <w:p w14:paraId="4EDB1DD2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5. Attractive Real Estate Market</w:t>
      </w:r>
    </w:p>
    <w:p w14:paraId="4713F1AE" w14:textId="77777777" w:rsidR="00314AEF" w:rsidRPr="00314AEF" w:rsidRDefault="00314AEF" w:rsidP="00314AEF">
      <w:pPr>
        <w:numPr>
          <w:ilvl w:val="0"/>
          <w:numId w:val="6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Good quality-price ratio for housing</w:t>
      </w:r>
    </w:p>
    <w:p w14:paraId="632B8BBB" w14:textId="77777777" w:rsidR="00314AEF" w:rsidRPr="00314AEF" w:rsidRDefault="00314AEF" w:rsidP="00314AEF">
      <w:pPr>
        <w:numPr>
          <w:ilvl w:val="0"/>
          <w:numId w:val="6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Exceptional growth in affordable housing</w:t>
      </w:r>
    </w:p>
    <w:p w14:paraId="189C77E0" w14:textId="77777777" w:rsidR="00314AEF" w:rsidRPr="00314AEF" w:rsidRDefault="00314AEF" w:rsidP="00314AEF">
      <w:pPr>
        <w:numPr>
          <w:ilvl w:val="0"/>
          <w:numId w:val="6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lastRenderedPageBreak/>
        <w:t>Low number of vacant properties</w:t>
      </w:r>
    </w:p>
    <w:p w14:paraId="45AF9847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6. Balanced Functional Mix</w:t>
      </w:r>
    </w:p>
    <w:p w14:paraId="7C71B5B4" w14:textId="77777777" w:rsidR="00314AEF" w:rsidRPr="00314AEF" w:rsidRDefault="00314AEF" w:rsidP="00314AEF">
      <w:pPr>
        <w:numPr>
          <w:ilvl w:val="0"/>
          <w:numId w:val="7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Balanced mix planned between residential, productive, and service uses</w:t>
      </w:r>
    </w:p>
    <w:p w14:paraId="3154B965" w14:textId="77777777" w:rsidR="00314AEF" w:rsidRPr="00314AEF" w:rsidRDefault="00314AEF" w:rsidP="00314AEF">
      <w:pPr>
        <w:numPr>
          <w:ilvl w:val="0"/>
          <w:numId w:val="7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Ample territorial surface and strategic position</w:t>
      </w:r>
    </w:p>
    <w:p w14:paraId="1A592D0A" w14:textId="77777777" w:rsidR="00314AEF" w:rsidRPr="00314AEF" w:rsidRDefault="00314AEF" w:rsidP="00314AEF">
      <w:pPr>
        <w:numPr>
          <w:ilvl w:val="0"/>
          <w:numId w:val="7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Presence of specialized attractor poles</w:t>
      </w:r>
    </w:p>
    <w:p w14:paraId="6A2187D6" w14:textId="77777777" w:rsidR="00314AEF" w:rsidRPr="00314AEF" w:rsidRDefault="00314AEF" w:rsidP="00314AEF">
      <w:pPr>
        <w:numPr>
          <w:ilvl w:val="0"/>
          <w:numId w:val="7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Valorization of a historic listed building</w:t>
      </w:r>
    </w:p>
    <w:p w14:paraId="23650738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7. Innovation and Sustainability</w:t>
      </w:r>
    </w:p>
    <w:p w14:paraId="75D2A716" w14:textId="77777777" w:rsidR="00314AEF" w:rsidRPr="00314AEF" w:rsidRDefault="00314AEF" w:rsidP="00314AEF">
      <w:pPr>
        <w:numPr>
          <w:ilvl w:val="0"/>
          <w:numId w:val="8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Environment Park as a research center for environmental innovation</w:t>
      </w:r>
    </w:p>
    <w:p w14:paraId="2D60FC97" w14:textId="77777777" w:rsidR="00314AEF" w:rsidRPr="00314AEF" w:rsidRDefault="00314AEF" w:rsidP="00314AEF">
      <w:pPr>
        <w:numPr>
          <w:ilvl w:val="0"/>
          <w:numId w:val="8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"Torino Cambia" project with PNRR funds</w:t>
      </w:r>
    </w:p>
    <w:p w14:paraId="7CC70199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8. Services and Territorial Facilities</w:t>
      </w:r>
    </w:p>
    <w:p w14:paraId="79953520" w14:textId="77777777" w:rsidR="00314AEF" w:rsidRPr="00314AEF" w:rsidRDefault="00314AEF" w:rsidP="00314AEF">
      <w:pPr>
        <w:numPr>
          <w:ilvl w:val="0"/>
          <w:numId w:val="9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Good provision of nurseries and educational services</w:t>
      </w:r>
    </w:p>
    <w:p w14:paraId="6C241810" w14:textId="77777777" w:rsidR="00314AEF" w:rsidRPr="00314AEF" w:rsidRDefault="00314AEF" w:rsidP="00314AEF">
      <w:pPr>
        <w:numPr>
          <w:ilvl w:val="0"/>
          <w:numId w:val="9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Presence of health and social care facilities</w:t>
      </w:r>
    </w:p>
    <w:p w14:paraId="3FBC1F5D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3. REGULATORY URBAN DATA</w:t>
      </w:r>
    </w:p>
    <w:p w14:paraId="2F0C0EE0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CURRENT URBAN PLANNING INSTRUMENT</w:t>
      </w:r>
    </w:p>
    <w:p w14:paraId="7CA363EA" w14:textId="77777777" w:rsidR="00314AEF" w:rsidRPr="00314AEF" w:rsidRDefault="00314AEF" w:rsidP="00314AEF">
      <w:pPr>
        <w:numPr>
          <w:ilvl w:val="0"/>
          <w:numId w:val="10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General Regulatory Plan (D.G.R. n. 3-41994, 21.12.1995)</w:t>
      </w:r>
    </w:p>
    <w:p w14:paraId="233CFF39" w14:textId="77777777" w:rsidR="00314AEF" w:rsidRPr="00314AEF" w:rsidRDefault="00314AEF" w:rsidP="00314AEF">
      <w:pPr>
        <w:numPr>
          <w:ilvl w:val="0"/>
          <w:numId w:val="10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Urban and Building Implementation Regulations (Vol. I and II)</w:t>
      </w:r>
    </w:p>
    <w:p w14:paraId="7617E0E1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URBAN PLANNING CLASSIFICATION</w:t>
      </w:r>
    </w:p>
    <w:p w14:paraId="0D1B1A44" w14:textId="77777777" w:rsidR="00314AEF" w:rsidRPr="00314AEF" w:rsidRDefault="00314AEF" w:rsidP="00314AEF">
      <w:pPr>
        <w:numPr>
          <w:ilvl w:val="0"/>
          <w:numId w:val="1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Zone: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Urban Transformation Zone</w:t>
      </w:r>
    </w:p>
    <w:p w14:paraId="63CB6636" w14:textId="77777777" w:rsidR="00314AEF" w:rsidRPr="00314AEF" w:rsidRDefault="00314AEF" w:rsidP="00314AEF">
      <w:pPr>
        <w:numPr>
          <w:ilvl w:val="0"/>
          <w:numId w:val="1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Code: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ZUT 4.13/2</w:t>
      </w:r>
    </w:p>
    <w:p w14:paraId="0D1D18B6" w14:textId="77777777" w:rsidR="00314AEF" w:rsidRPr="00314AEF" w:rsidRDefault="00314AEF" w:rsidP="00314AEF">
      <w:pPr>
        <w:numPr>
          <w:ilvl w:val="0"/>
          <w:numId w:val="11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Regulation: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Art. 15 Vol. I NUEA</w:t>
      </w:r>
    </w:p>
    <w:p w14:paraId="3049B198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BUILDING INDICES AND PARAMETERS</w:t>
      </w:r>
    </w:p>
    <w:p w14:paraId="162EE5E5" w14:textId="77777777" w:rsidR="00314AEF" w:rsidRPr="00314AEF" w:rsidRDefault="00314AEF" w:rsidP="00314AEF">
      <w:pPr>
        <w:numPr>
          <w:ilvl w:val="0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Parameter: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ST (Territorial Surface)</w:t>
      </w:r>
    </w:p>
    <w:p w14:paraId="20363538" w14:textId="682FBE5B" w:rsidR="00314AEF" w:rsidRPr="00314AEF" w:rsidRDefault="00314AEF" w:rsidP="00005E83">
      <w:pPr>
        <w:numPr>
          <w:ilvl w:val="1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Value: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109,183 m² belongs to FS Group (Source: GIS estimate - Gruppo Urbanistica)</w:t>
      </w:r>
    </w:p>
    <w:p w14:paraId="5AA47391" w14:textId="77777777" w:rsidR="00314AEF" w:rsidRPr="00314AEF" w:rsidRDefault="00314AEF" w:rsidP="00314AEF">
      <w:pPr>
        <w:numPr>
          <w:ilvl w:val="0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Parameter: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Realizable GFA (Gross Floor Area)</w:t>
      </w:r>
    </w:p>
    <w:p w14:paraId="71F273CA" w14:textId="56529C28" w:rsidR="00314AEF" w:rsidRPr="00314AEF" w:rsidRDefault="00314AEF" w:rsidP="00005E83">
      <w:pPr>
        <w:numPr>
          <w:ilvl w:val="1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Value: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 w:rsidR="00DA729E">
        <w:rPr>
          <w:rFonts w:ascii="Arial" w:hAnsi="Arial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46,006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 xml:space="preserve"> m² belongs to FS Group (Source: GIS estimate - Gruppo Urbanistica)</w:t>
      </w:r>
    </w:p>
    <w:p w14:paraId="7D50FEB8" w14:textId="77777777" w:rsidR="00314AEF" w:rsidRPr="00314AEF" w:rsidRDefault="00314AEF" w:rsidP="00314AEF">
      <w:pPr>
        <w:numPr>
          <w:ilvl w:val="0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Parameter: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Territorial Index</w:t>
      </w:r>
    </w:p>
    <w:p w14:paraId="2748E017" w14:textId="77777777" w:rsidR="00314AEF" w:rsidRPr="00005E83" w:rsidRDefault="00314AEF" w:rsidP="00005E83">
      <w:pPr>
        <w:numPr>
          <w:ilvl w:val="1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Value: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0.6-0.4-0.7/3 m²/m²</w:t>
      </w:r>
    </w:p>
    <w:p w14:paraId="4489A82E" w14:textId="6077440E" w:rsidR="00005E83" w:rsidRPr="00314AEF" w:rsidRDefault="00005E83" w:rsidP="00005E83">
      <w:pPr>
        <w:numPr>
          <w:ilvl w:val="0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Parameter: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>
        <w:rPr>
          <w:rFonts w:asciiTheme="minorEastAsia" w:hAnsiTheme="minorEastAsia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T</w:t>
      </w:r>
      <w:r w:rsidRPr="00005E83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erritorial surface area to be allocated for services</w:t>
      </w:r>
    </w:p>
    <w:p w14:paraId="2BFA833E" w14:textId="1F5776DC" w:rsidR="00005E83" w:rsidRPr="00005E83" w:rsidRDefault="00005E83" w:rsidP="00005E83">
      <w:pPr>
        <w:numPr>
          <w:ilvl w:val="1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Value: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 w:rsidRPr="00005E83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56,649 m²</w:t>
      </w:r>
    </w:p>
    <w:p w14:paraId="31C9A6F3" w14:textId="77777777" w:rsidR="00314AEF" w:rsidRPr="00314AEF" w:rsidRDefault="00314AEF" w:rsidP="00314AEF">
      <w:pPr>
        <w:numPr>
          <w:ilvl w:val="0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Parameter: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Maximum height</w:t>
      </w:r>
    </w:p>
    <w:p w14:paraId="201694E4" w14:textId="77777777" w:rsidR="00314AEF" w:rsidRPr="00314AEF" w:rsidRDefault="00314AEF" w:rsidP="00005E83">
      <w:pPr>
        <w:numPr>
          <w:ilvl w:val="1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Value:</w:t>
      </w:r>
    </w:p>
    <w:p w14:paraId="1D5AB5CA" w14:textId="77777777" w:rsidR="00314AEF" w:rsidRPr="00314AEF" w:rsidRDefault="00314AEF" w:rsidP="00005E83">
      <w:pPr>
        <w:numPr>
          <w:ilvl w:val="2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In case of implementation with a covenanted building permit:</w:t>
      </w:r>
    </w:p>
    <w:p w14:paraId="3BFCBA62" w14:textId="77777777" w:rsidR="00314AEF" w:rsidRPr="00314AEF" w:rsidRDefault="00314AEF" w:rsidP="00005E83">
      <w:pPr>
        <w:numPr>
          <w:ilvl w:val="3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lastRenderedPageBreak/>
        <w:t>5 floors above ground for the fronts facing the continuation of via Ceva, on the internal east-west axis, and on via Savigliano;</w:t>
      </w:r>
    </w:p>
    <w:p w14:paraId="69871DB0" w14:textId="77777777" w:rsidR="00314AEF" w:rsidRPr="00314AEF" w:rsidRDefault="00314AEF" w:rsidP="00005E83">
      <w:pPr>
        <w:numPr>
          <w:ilvl w:val="3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7 floors above ground for the remaining fronts.</w:t>
      </w:r>
    </w:p>
    <w:p w14:paraId="7F8ACBD7" w14:textId="77777777" w:rsidR="00314AEF" w:rsidRPr="00314AEF" w:rsidRDefault="00314AEF" w:rsidP="00005E83">
      <w:pPr>
        <w:numPr>
          <w:ilvl w:val="2"/>
          <w:numId w:val="12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Other cases: from Building Regulations</w:t>
      </w:r>
    </w:p>
    <w:p w14:paraId="0ABAEE52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LAND USES</w:t>
      </w:r>
    </w:p>
    <w:p w14:paraId="405572F7" w14:textId="77777777" w:rsidR="00314AEF" w:rsidRPr="00314AEF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Destination: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Residential</w:t>
      </w:r>
    </w:p>
    <w:p w14:paraId="292849E5" w14:textId="0C11F648" w:rsidR="00314AEF" w:rsidRPr="00314AEF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Percentage: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 w:rsidR="00005E83">
        <w:rPr>
          <w:rFonts w:asciiTheme="minorEastAsia" w:hAnsiTheme="minorEastAsia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Minimum</w:t>
      </w:r>
      <w:r w:rsidR="00DA729E">
        <w:rPr>
          <w:rFonts w:ascii="Arial" w:hAnsi="Arial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 xml:space="preserve"> 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40%</w:t>
      </w:r>
    </w:p>
    <w:p w14:paraId="7DC05B1D" w14:textId="4B48A348" w:rsidR="00314AEF" w:rsidRPr="00314AEF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Destination: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Tertiary and Eurotorino</w:t>
      </w:r>
      <w:r w:rsidR="00DA729E">
        <w:rPr>
          <w:rFonts w:ascii="宋体" w:eastAsia="宋体" w:hAnsi="宋体" w:cs="宋体" w:hint="eastAsia"/>
          <w:color w:val="1A1C1E"/>
          <w:kern w:val="0"/>
          <w:sz w:val="21"/>
          <w:szCs w:val="21"/>
          <w:lang w:eastAsia="zh-CN"/>
          <w14:ligatures w14:val="none"/>
        </w:rPr>
        <w:t>(office)</w:t>
      </w:r>
    </w:p>
    <w:p w14:paraId="577467BD" w14:textId="7B7EF2F1" w:rsidR="00314AEF" w:rsidRPr="00314AEF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Percentage: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 w:rsidR="00005E83">
        <w:rPr>
          <w:rFonts w:asciiTheme="minorEastAsia" w:hAnsiTheme="minorEastAsia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Maximum</w:t>
      </w:r>
      <w:r w:rsidR="00DA729E">
        <w:rPr>
          <w:rFonts w:ascii="Arial" w:hAnsi="Arial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 xml:space="preserve"> 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40%</w:t>
      </w:r>
    </w:p>
    <w:p w14:paraId="07D66925" w14:textId="74E647F9" w:rsidR="00314AEF" w:rsidRPr="00314AEF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Destination: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ASPI</w:t>
      </w:r>
      <w:r w:rsidR="00DA729E">
        <w:rPr>
          <w:rFonts w:ascii="Arial" w:hAnsi="Arial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(commercial)</w:t>
      </w:r>
    </w:p>
    <w:p w14:paraId="478C542F" w14:textId="23333746" w:rsidR="00314AEF" w:rsidRPr="002967D1" w:rsidRDefault="00314AEF" w:rsidP="00314AEF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Percentage: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</w:t>
      </w:r>
      <w:r w:rsidR="00005E83">
        <w:rPr>
          <w:rFonts w:asciiTheme="minorEastAsia" w:hAnsiTheme="minorEastAsia" w:cs="Times New Roman" w:hint="eastAsia"/>
          <w:color w:val="1A1C1E"/>
          <w:kern w:val="0"/>
          <w:sz w:val="21"/>
          <w:szCs w:val="21"/>
          <w:lang w:eastAsia="zh-CN"/>
          <w14:ligatures w14:val="none"/>
        </w:rPr>
        <w:t>Maximum</w:t>
      </w:r>
      <w:r w:rsidR="00765196"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 xml:space="preserve"> 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20%</w:t>
      </w:r>
    </w:p>
    <w:p w14:paraId="50114782" w14:textId="78494963" w:rsidR="002967D1" w:rsidRPr="002967D1" w:rsidRDefault="002967D1" w:rsidP="002967D1">
      <w:pPr>
        <w:shd w:val="clear" w:color="auto" w:fill="FFFFFF"/>
        <w:spacing w:before="100" w:beforeAutospacing="1" w:after="270" w:line="300" w:lineRule="atLeast"/>
        <w:rPr>
          <w:rFonts w:ascii="Arial" w:hAnsi="Arial" w:cs="Times New Roman" w:hint="eastAsia"/>
          <w:color w:val="1A1C1E"/>
          <w:kern w:val="0"/>
          <w:sz w:val="21"/>
          <w:szCs w:val="21"/>
          <w:lang w:eastAsia="zh-CN"/>
          <w14:ligatures w14:val="none"/>
        </w:rPr>
      </w:pPr>
      <w:r w:rsidRPr="002967D1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M</w:t>
      </w:r>
      <w:r>
        <w:rPr>
          <w:rFonts w:ascii="Arial" w:hAnsi="Arial" w:cs="Times New Roman" w:hint="eastAsia"/>
          <w:b/>
          <w:bCs/>
          <w:color w:val="1A1C1E"/>
          <w:kern w:val="0"/>
          <w:sz w:val="21"/>
          <w:szCs w:val="21"/>
          <w:lang w:eastAsia="zh-CN"/>
          <w14:ligatures w14:val="none"/>
        </w:rPr>
        <w:t>UNICIPAL INFRASTRUCTURE</w:t>
      </w:r>
    </w:p>
    <w:p w14:paraId="41BD21A5" w14:textId="2A478445" w:rsidR="002967D1" w:rsidRPr="002967D1" w:rsidRDefault="002967D1" w:rsidP="002967D1">
      <w:pPr>
        <w:numPr>
          <w:ilvl w:val="0"/>
          <w:numId w:val="13"/>
        </w:numPr>
        <w:shd w:val="clear" w:color="auto" w:fill="FFFFFF"/>
        <w:spacing w:after="45" w:line="300" w:lineRule="atLeast"/>
        <w:rPr>
          <w:rFonts w:ascii="Arial" w:eastAsia="Times New Roman" w:hAnsi="Arial" w:cs="Times New Roman" w:hint="eastAsia"/>
          <w:color w:val="1A1C1E"/>
          <w:kern w:val="0"/>
          <w:sz w:val="21"/>
          <w:szCs w:val="21"/>
          <w:lang w:eastAsia="it-IT"/>
          <w14:ligatures w14:val="none"/>
        </w:rPr>
      </w:pPr>
      <w:r>
        <w:rPr>
          <w:rFonts w:ascii="Arial" w:hAnsi="Arial" w:cs="Times New Roman" w:hint="eastAsia"/>
          <w:b/>
          <w:bCs/>
          <w:color w:val="1A1C1E"/>
          <w:kern w:val="0"/>
          <w:sz w:val="21"/>
          <w:szCs w:val="21"/>
          <w:lang w:eastAsia="zh-CN"/>
          <w14:ligatures w14:val="none"/>
        </w:rPr>
        <w:t>E</w:t>
      </w:r>
      <w:r w:rsidRPr="002967D1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 xml:space="preserve">xtend “Via Dronero” and “Via Ceva” through </w:t>
      </w:r>
      <w:r>
        <w:rPr>
          <w:rFonts w:asciiTheme="minorEastAsia" w:hAnsiTheme="minorEastAsia" w:cs="Times New Roman" w:hint="eastAsia"/>
          <w:b/>
          <w:bCs/>
          <w:color w:val="1A1C1E"/>
          <w:kern w:val="0"/>
          <w:sz w:val="21"/>
          <w:szCs w:val="21"/>
          <w:lang w:eastAsia="zh-CN"/>
          <w14:ligatures w14:val="none"/>
        </w:rPr>
        <w:t>the</w:t>
      </w:r>
      <w:r w:rsidRPr="002967D1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 xml:space="preserve"> project site to connect to “Corso Principe Oddone”</w:t>
      </w:r>
    </w:p>
    <w:p w14:paraId="1117A2F0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URBAN STANDARDS (Art. 21 LUR 56/77)</w:t>
      </w:r>
    </w:p>
    <w:p w14:paraId="52D2911A" w14:textId="77777777" w:rsidR="00314AEF" w:rsidRPr="00314AEF" w:rsidRDefault="00314AEF" w:rsidP="00314AEF">
      <w:pPr>
        <w:numPr>
          <w:ilvl w:val="0"/>
          <w:numId w:val="1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Typology: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Internal requirement</w:t>
      </w:r>
    </w:p>
    <w:p w14:paraId="731569F5" w14:textId="77777777" w:rsidR="00314AEF" w:rsidRPr="00314AEF" w:rsidRDefault="00314AEF" w:rsidP="00314AEF">
      <w:pPr>
        <w:numPr>
          <w:ilvl w:val="0"/>
          <w:numId w:val="1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Surface (m²):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35,614</w:t>
      </w:r>
    </w:p>
    <w:p w14:paraId="178EE234" w14:textId="77777777" w:rsidR="00314AEF" w:rsidRPr="00314AEF" w:rsidRDefault="00314AEF" w:rsidP="00314AEF">
      <w:pPr>
        <w:numPr>
          <w:ilvl w:val="0"/>
          <w:numId w:val="1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Typology: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Pre-existing requirement (20% ST)</w:t>
      </w:r>
    </w:p>
    <w:p w14:paraId="5F88A4A7" w14:textId="77777777" w:rsidR="00314AEF" w:rsidRPr="00314AEF" w:rsidRDefault="00314AEF" w:rsidP="00314AEF">
      <w:pPr>
        <w:numPr>
          <w:ilvl w:val="0"/>
          <w:numId w:val="14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Surface (m²):</w:t>
      </w: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 21,837</w:t>
      </w:r>
    </w:p>
    <w:p w14:paraId="18218A9D" w14:textId="77777777" w:rsidR="00314AEF" w:rsidRPr="00314AEF" w:rsidRDefault="00314AEF" w:rsidP="00314AEF">
      <w:pPr>
        <w:shd w:val="clear" w:color="auto" w:fill="FFFFFF"/>
        <w:spacing w:before="100" w:beforeAutospacing="1" w:after="270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b/>
          <w:bCs/>
          <w:color w:val="1A1C1E"/>
          <w:kern w:val="0"/>
          <w:sz w:val="21"/>
          <w:szCs w:val="21"/>
          <w:lang w:eastAsia="it-IT"/>
          <w14:ligatures w14:val="none"/>
        </w:rPr>
        <w:t>IMPLEMENTATION METHODS</w:t>
      </w:r>
    </w:p>
    <w:p w14:paraId="59CF6ABF" w14:textId="77777777" w:rsidR="00314AEF" w:rsidRPr="00314AEF" w:rsidRDefault="00314AEF" w:rsidP="00314AEF">
      <w:pPr>
        <w:numPr>
          <w:ilvl w:val="0"/>
          <w:numId w:val="1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Executive plans of public or private initiative</w:t>
      </w:r>
    </w:p>
    <w:p w14:paraId="053F06B2" w14:textId="77777777" w:rsidR="00314AEF" w:rsidRPr="00314AEF" w:rsidRDefault="00314AEF" w:rsidP="00314AEF">
      <w:pPr>
        <w:numPr>
          <w:ilvl w:val="0"/>
          <w:numId w:val="15"/>
        </w:numPr>
        <w:shd w:val="clear" w:color="auto" w:fill="FFFFFF"/>
        <w:spacing w:after="45" w:line="300" w:lineRule="atLeast"/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</w:pPr>
      <w:r w:rsidRPr="00314AEF">
        <w:rPr>
          <w:rFonts w:ascii="Arial" w:eastAsia="Times New Roman" w:hAnsi="Arial" w:cs="Times New Roman"/>
          <w:color w:val="1A1C1E"/>
          <w:kern w:val="0"/>
          <w:sz w:val="21"/>
          <w:szCs w:val="21"/>
          <w:lang w:eastAsia="it-IT"/>
          <w14:ligatures w14:val="none"/>
        </w:rPr>
        <w:t>Covenanted building permit</w:t>
      </w:r>
    </w:p>
    <w:p w14:paraId="7C99FEF1" w14:textId="77777777" w:rsidR="00A425C1" w:rsidRDefault="00A425C1"/>
    <w:sectPr w:rsidR="00A425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1B0A0" w14:textId="77777777" w:rsidR="00052C81" w:rsidRDefault="00052C81" w:rsidP="00DA729E">
      <w:pPr>
        <w:spacing w:after="0" w:line="240" w:lineRule="auto"/>
      </w:pPr>
      <w:r>
        <w:separator/>
      </w:r>
    </w:p>
  </w:endnote>
  <w:endnote w:type="continuationSeparator" w:id="0">
    <w:p w14:paraId="408060D2" w14:textId="77777777" w:rsidR="00052C81" w:rsidRDefault="00052C81" w:rsidP="00DA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B1D24" w14:textId="77777777" w:rsidR="00052C81" w:rsidRDefault="00052C81" w:rsidP="00DA729E">
      <w:pPr>
        <w:spacing w:after="0" w:line="240" w:lineRule="auto"/>
      </w:pPr>
      <w:r>
        <w:separator/>
      </w:r>
    </w:p>
  </w:footnote>
  <w:footnote w:type="continuationSeparator" w:id="0">
    <w:p w14:paraId="25AEC4FD" w14:textId="77777777" w:rsidR="00052C81" w:rsidRDefault="00052C81" w:rsidP="00DA7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84CA6"/>
    <w:multiLevelType w:val="multilevel"/>
    <w:tmpl w:val="7D24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72430"/>
    <w:multiLevelType w:val="multilevel"/>
    <w:tmpl w:val="E85C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3D23A3"/>
    <w:multiLevelType w:val="multilevel"/>
    <w:tmpl w:val="D23C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03067"/>
    <w:multiLevelType w:val="multilevel"/>
    <w:tmpl w:val="1606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91D09"/>
    <w:multiLevelType w:val="hybridMultilevel"/>
    <w:tmpl w:val="1018E1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1BE746F"/>
    <w:multiLevelType w:val="multilevel"/>
    <w:tmpl w:val="3FA2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FF1C48"/>
    <w:multiLevelType w:val="multilevel"/>
    <w:tmpl w:val="46C6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9F46D6"/>
    <w:multiLevelType w:val="multilevel"/>
    <w:tmpl w:val="9F22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FF3727"/>
    <w:multiLevelType w:val="multilevel"/>
    <w:tmpl w:val="17D8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A45DC8"/>
    <w:multiLevelType w:val="multilevel"/>
    <w:tmpl w:val="1DFC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B808DE"/>
    <w:multiLevelType w:val="multilevel"/>
    <w:tmpl w:val="B338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B4F44"/>
    <w:multiLevelType w:val="multilevel"/>
    <w:tmpl w:val="301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550519"/>
    <w:multiLevelType w:val="multilevel"/>
    <w:tmpl w:val="9BAA5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B00F20"/>
    <w:multiLevelType w:val="multilevel"/>
    <w:tmpl w:val="FF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276B7"/>
    <w:multiLevelType w:val="multilevel"/>
    <w:tmpl w:val="3A46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9E45B0"/>
    <w:multiLevelType w:val="multilevel"/>
    <w:tmpl w:val="2756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FB7438"/>
    <w:multiLevelType w:val="multilevel"/>
    <w:tmpl w:val="BAC2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E5599"/>
    <w:multiLevelType w:val="multilevel"/>
    <w:tmpl w:val="4986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923667"/>
    <w:multiLevelType w:val="multilevel"/>
    <w:tmpl w:val="B0286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6215091">
    <w:abstractNumId w:val="15"/>
  </w:num>
  <w:num w:numId="2" w16cid:durableId="2115198973">
    <w:abstractNumId w:val="18"/>
  </w:num>
  <w:num w:numId="3" w16cid:durableId="957642978">
    <w:abstractNumId w:val="10"/>
  </w:num>
  <w:num w:numId="4" w16cid:durableId="188615744">
    <w:abstractNumId w:val="12"/>
  </w:num>
  <w:num w:numId="5" w16cid:durableId="876509909">
    <w:abstractNumId w:val="3"/>
  </w:num>
  <w:num w:numId="6" w16cid:durableId="885988257">
    <w:abstractNumId w:val="1"/>
  </w:num>
  <w:num w:numId="7" w16cid:durableId="533689557">
    <w:abstractNumId w:val="8"/>
  </w:num>
  <w:num w:numId="8" w16cid:durableId="1139416570">
    <w:abstractNumId w:val="17"/>
  </w:num>
  <w:num w:numId="9" w16cid:durableId="847213630">
    <w:abstractNumId w:val="9"/>
  </w:num>
  <w:num w:numId="10" w16cid:durableId="1627808658">
    <w:abstractNumId w:val="13"/>
  </w:num>
  <w:num w:numId="11" w16cid:durableId="1116558276">
    <w:abstractNumId w:val="5"/>
  </w:num>
  <w:num w:numId="12" w16cid:durableId="977609921">
    <w:abstractNumId w:val="14"/>
  </w:num>
  <w:num w:numId="13" w16cid:durableId="1574504325">
    <w:abstractNumId w:val="6"/>
  </w:num>
  <w:num w:numId="14" w16cid:durableId="758258040">
    <w:abstractNumId w:val="2"/>
  </w:num>
  <w:num w:numId="15" w16cid:durableId="439570898">
    <w:abstractNumId w:val="11"/>
  </w:num>
  <w:num w:numId="16" w16cid:durableId="267810747">
    <w:abstractNumId w:val="7"/>
  </w:num>
  <w:num w:numId="17" w16cid:durableId="1875462024">
    <w:abstractNumId w:val="0"/>
  </w:num>
  <w:num w:numId="18" w16cid:durableId="1091585730">
    <w:abstractNumId w:val="16"/>
  </w:num>
  <w:num w:numId="19" w16cid:durableId="97800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EF"/>
    <w:rsid w:val="00005E83"/>
    <w:rsid w:val="00046BEA"/>
    <w:rsid w:val="00052C81"/>
    <w:rsid w:val="000D5C01"/>
    <w:rsid w:val="002967D1"/>
    <w:rsid w:val="00314AEF"/>
    <w:rsid w:val="00381561"/>
    <w:rsid w:val="00635332"/>
    <w:rsid w:val="006F4AF4"/>
    <w:rsid w:val="00701D9C"/>
    <w:rsid w:val="00765196"/>
    <w:rsid w:val="00794CDD"/>
    <w:rsid w:val="008A0FA5"/>
    <w:rsid w:val="00A425C1"/>
    <w:rsid w:val="00A74785"/>
    <w:rsid w:val="00B4797D"/>
    <w:rsid w:val="00B5291C"/>
    <w:rsid w:val="00BA1F4E"/>
    <w:rsid w:val="00C919DE"/>
    <w:rsid w:val="00DA729E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2AFC08"/>
  <w15:chartTrackingRefBased/>
  <w15:docId w15:val="{D6BDFF67-AB9E-6645-B0E3-8E2F98C0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4A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A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14A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14A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A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A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A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A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A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14A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314A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14A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rsid w:val="00314AE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314AEF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314A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314AEF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14A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314A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4A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14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4A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14A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14A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14AE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14AE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14AE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14A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14AE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14AEF"/>
    <w:rPr>
      <w:b/>
      <w:bCs/>
      <w:smallCaps/>
      <w:color w:val="0F4761" w:themeColor="accent1" w:themeShade="BF"/>
      <w:spacing w:val="5"/>
    </w:rPr>
  </w:style>
  <w:style w:type="character" w:customStyle="1" w:styleId="ng-star-inserted">
    <w:name w:val="ng-star-inserted"/>
    <w:basedOn w:val="a0"/>
    <w:rsid w:val="00314AEF"/>
  </w:style>
  <w:style w:type="paragraph" w:customStyle="1" w:styleId="ng-star-inserted1">
    <w:name w:val="ng-star-inserted1"/>
    <w:basedOn w:val="a"/>
    <w:rsid w:val="0031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ae">
    <w:name w:val="header"/>
    <w:basedOn w:val="a"/>
    <w:link w:val="af"/>
    <w:uiPriority w:val="99"/>
    <w:unhideWhenUsed/>
    <w:rsid w:val="00DA729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A729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A729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A72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 Dell'Anna</dc:creator>
  <cp:keywords/>
  <dc:description/>
  <cp:lastModifiedBy>Hugo Tian LookX</cp:lastModifiedBy>
  <cp:revision>4</cp:revision>
  <dcterms:created xsi:type="dcterms:W3CDTF">2025-09-24T11:57:00Z</dcterms:created>
  <dcterms:modified xsi:type="dcterms:W3CDTF">2025-12-21T15:12:00Z</dcterms:modified>
</cp:coreProperties>
</file>